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652CFA" w14:textId="50674366" w:rsidR="007B5ACA" w:rsidRPr="009D5E7C" w:rsidRDefault="007B5ACA" w:rsidP="007B5ACA">
      <w:pPr>
        <w:pStyle w:val="2"/>
        <w:shd w:val="clear" w:color="auto" w:fill="FFFFFF"/>
        <w:spacing w:before="360" w:after="0" w:line="510" w:lineRule="atLeast"/>
        <w:rPr>
          <w:rFonts w:ascii="PingFang SC" w:eastAsia="PingFang SC" w:hAnsi="PingFang SC"/>
          <w:color w:val="303030"/>
          <w:sz w:val="33"/>
          <w:szCs w:val="33"/>
          <w:lang w:eastAsia="zh-CN"/>
        </w:rPr>
      </w:pPr>
      <w:r>
        <w:rPr>
          <w:rFonts w:ascii="PingFang SC" w:eastAsia="PingFang SC" w:hAnsi="PingFang SC" w:hint="eastAsia"/>
          <w:color w:val="303030"/>
          <w:sz w:val="33"/>
          <w:szCs w:val="33"/>
          <w:lang w:eastAsia="zh-CN"/>
        </w:rPr>
        <w:t>会计事件库2</w:t>
      </w:r>
      <w:r>
        <w:rPr>
          <w:rFonts w:ascii="PingFang SC" w:eastAsia="PingFang SC" w:hAnsi="PingFang SC"/>
          <w:color w:val="303030"/>
          <w:sz w:val="33"/>
          <w:szCs w:val="33"/>
          <w:lang w:eastAsia="zh-CN"/>
        </w:rPr>
        <w:t>.0</w:t>
      </w:r>
      <w:r w:rsidR="00A05D04">
        <w:rPr>
          <w:rFonts w:ascii="PingFang SC" w:eastAsia="PingFang SC" w:hAnsi="PingFang SC" w:hint="eastAsia"/>
          <w:color w:val="303030"/>
          <w:sz w:val="33"/>
          <w:szCs w:val="33"/>
          <w:lang w:eastAsia="zh-CN"/>
        </w:rPr>
        <w:t>的核心能力及</w:t>
      </w:r>
      <w:r>
        <w:rPr>
          <w:rFonts w:ascii="PingFang SC" w:eastAsia="PingFang SC" w:hAnsi="PingFang SC" w:hint="eastAsia"/>
          <w:color w:val="303030"/>
          <w:sz w:val="33"/>
          <w:szCs w:val="33"/>
          <w:lang w:eastAsia="zh-CN"/>
        </w:rPr>
        <w:t>应用场景</w:t>
      </w:r>
    </w:p>
    <w:p w14:paraId="22D24B2D" w14:textId="089A4867" w:rsidR="00062A1E" w:rsidRDefault="007B5ACA" w:rsidP="007B5ACA">
      <w:pPr>
        <w:pStyle w:val="2"/>
        <w:spacing w:before="0" w:after="0" w:line="630" w:lineRule="atLeast"/>
        <w:rPr>
          <w:rFonts w:ascii="微软雅黑" w:eastAsia="微软雅黑" w:hAnsi="微软雅黑"/>
          <w:color w:val="1A1A1A"/>
          <w:sz w:val="30"/>
          <w:szCs w:val="30"/>
          <w:lang w:eastAsia="zh-CN"/>
        </w:rPr>
      </w:pPr>
      <w:r>
        <w:rPr>
          <w:rFonts w:ascii="微软雅黑" w:eastAsia="微软雅黑" w:hAnsi="微软雅黑" w:hint="eastAsia"/>
          <w:color w:val="1A1A1A"/>
          <w:sz w:val="30"/>
          <w:szCs w:val="30"/>
          <w:lang w:eastAsia="zh-CN"/>
        </w:rPr>
        <w:t xml:space="preserve">1 </w:t>
      </w:r>
      <w:r w:rsidR="00062A1E">
        <w:rPr>
          <w:rFonts w:ascii="微软雅黑" w:eastAsia="微软雅黑" w:hAnsi="微软雅黑" w:hint="eastAsia"/>
          <w:color w:val="1A1A1A"/>
          <w:sz w:val="30"/>
          <w:szCs w:val="30"/>
          <w:lang w:eastAsia="zh-CN"/>
        </w:rPr>
        <w:t>核心能力</w:t>
      </w:r>
    </w:p>
    <w:p w14:paraId="0329AA78" w14:textId="1524A30C" w:rsidR="00062A1E" w:rsidRDefault="00062A1E" w:rsidP="00062A1E">
      <w:pPr>
        <w:rPr>
          <w:rFonts w:ascii="微软雅黑" w:eastAsia="微软雅黑" w:hAnsi="微软雅黑"/>
          <w:color w:val="1A1A1A"/>
          <w:sz w:val="23"/>
          <w:szCs w:val="23"/>
          <w:lang w:eastAsia="zh-CN"/>
        </w:rPr>
      </w:pPr>
      <w:r>
        <w:rPr>
          <w:rFonts w:ascii="微软雅黑" w:eastAsia="微软雅黑" w:hAnsi="微软雅黑" w:hint="eastAsia"/>
          <w:color w:val="1A1A1A"/>
          <w:sz w:val="23"/>
          <w:szCs w:val="23"/>
          <w:lang w:eastAsia="zh-CN"/>
        </w:rPr>
        <w:t>会计事件库作为业财转换的关键桥梁，从传统的单据到凭证的转换，升级到业务和财务双向融合，并形成统一、高质量的业财数据源，生成业财融合的账务大宽表</w:t>
      </w:r>
      <w:r>
        <w:rPr>
          <w:rFonts w:ascii="微软雅黑" w:eastAsia="微软雅黑" w:hAnsi="微软雅黑" w:hint="eastAsia"/>
          <w:color w:val="1A1A1A"/>
          <w:sz w:val="23"/>
          <w:szCs w:val="23"/>
          <w:lang w:eastAsia="zh-CN"/>
        </w:rPr>
        <w:t>。产品</w:t>
      </w:r>
      <w:r>
        <w:rPr>
          <w:rFonts w:ascii="微软雅黑" w:eastAsia="微软雅黑" w:hAnsi="微软雅黑" w:hint="eastAsia"/>
          <w:color w:val="1A1A1A"/>
          <w:sz w:val="23"/>
          <w:szCs w:val="23"/>
          <w:lang w:eastAsia="zh-CN"/>
        </w:rPr>
        <w:t>提供的核心能力如下：</w:t>
      </w:r>
      <w:r w:rsidRPr="003B1333">
        <w:rPr>
          <w:rFonts w:ascii="微软雅黑" w:eastAsia="微软雅黑" w:hAnsi="微软雅黑" w:cs="Arial"/>
          <w:b/>
          <w:bCs/>
          <w:i/>
          <w:iCs/>
          <w:noProof/>
          <w:color w:val="1A1A1A"/>
          <w:sz w:val="30"/>
          <w:szCs w:val="30"/>
          <w:lang w:eastAsia="zh-CN"/>
        </w:rPr>
        <w:drawing>
          <wp:inline distT="0" distB="0" distL="0" distR="0" wp14:anchorId="7DC9ECC8" wp14:editId="468DB1A3">
            <wp:extent cx="5274310" cy="2352675"/>
            <wp:effectExtent l="12700" t="12700" r="889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2352675"/>
                    </a:xfrm>
                    <a:prstGeom prst="rect">
                      <a:avLst/>
                    </a:prstGeom>
                    <a:ln>
                      <a:solidFill>
                        <a:schemeClr val="bg1">
                          <a:lumMod val="85000"/>
                        </a:schemeClr>
                      </a:solidFill>
                    </a:ln>
                  </pic:spPr>
                </pic:pic>
              </a:graphicData>
            </a:graphic>
          </wp:inline>
        </w:drawing>
      </w:r>
    </w:p>
    <w:p w14:paraId="707D6168" w14:textId="77777777" w:rsidR="00062A1E" w:rsidRDefault="00062A1E" w:rsidP="00062A1E">
      <w:pPr>
        <w:rPr>
          <w:rFonts w:ascii="微软雅黑" w:eastAsia="微软雅黑" w:hAnsi="微软雅黑"/>
          <w:color w:val="1A1A1A"/>
          <w:sz w:val="23"/>
          <w:szCs w:val="23"/>
          <w:lang w:eastAsia="zh-CN"/>
        </w:rPr>
      </w:pPr>
      <w:r>
        <w:rPr>
          <w:rFonts w:ascii="微软雅黑" w:eastAsia="微软雅黑" w:hAnsi="微软雅黑" w:hint="eastAsia"/>
          <w:color w:val="1A1A1A"/>
          <w:sz w:val="23"/>
          <w:szCs w:val="23"/>
          <w:lang w:eastAsia="zh-CN"/>
        </w:rPr>
        <w:t>其中：</w:t>
      </w:r>
    </w:p>
    <w:p w14:paraId="150ECC3F" w14:textId="77777777" w:rsidR="00062A1E" w:rsidRPr="003B1333" w:rsidRDefault="00062A1E" w:rsidP="00062A1E">
      <w:pPr>
        <w:rPr>
          <w:rFonts w:ascii="微软雅黑" w:eastAsia="微软雅黑" w:hAnsi="微软雅黑" w:cs="Arial"/>
          <w:b/>
          <w:bCs/>
          <w:i/>
          <w:iCs/>
          <w:color w:val="1A1A1A"/>
          <w:sz w:val="30"/>
          <w:szCs w:val="30"/>
          <w:lang w:eastAsia="zh-CN"/>
        </w:rPr>
      </w:pPr>
      <w:r>
        <w:rPr>
          <w:rFonts w:ascii="微软雅黑" w:eastAsia="微软雅黑" w:hAnsi="微软雅黑" w:hint="eastAsia"/>
          <w:color w:val="1A1A1A"/>
          <w:sz w:val="23"/>
          <w:szCs w:val="23"/>
          <w:lang w:eastAsia="zh-CN"/>
        </w:rPr>
        <w:t>1）异构系统接入：</w:t>
      </w:r>
    </w:p>
    <w:p w14:paraId="73BE41DC" w14:textId="77777777" w:rsidR="00062A1E" w:rsidRDefault="00062A1E" w:rsidP="00062A1E">
      <w:pPr>
        <w:rPr>
          <w:rFonts w:ascii="微软雅黑" w:eastAsia="微软雅黑" w:hAnsi="微软雅黑" w:cs="Arial"/>
          <w:b/>
          <w:bCs/>
          <w:i/>
          <w:iCs/>
          <w:color w:val="1A1A1A"/>
          <w:sz w:val="30"/>
          <w:szCs w:val="30"/>
          <w:lang w:eastAsia="zh-CN"/>
        </w:rPr>
      </w:pPr>
      <w:r w:rsidRPr="003B1333">
        <w:rPr>
          <w:rFonts w:ascii="微软雅黑" w:eastAsia="微软雅黑" w:hAnsi="微软雅黑" w:cs="Arial"/>
          <w:b/>
          <w:bCs/>
          <w:i/>
          <w:iCs/>
          <w:noProof/>
          <w:color w:val="1A1A1A"/>
          <w:sz w:val="30"/>
          <w:szCs w:val="30"/>
          <w:lang w:eastAsia="zh-CN"/>
        </w:rPr>
        <w:drawing>
          <wp:inline distT="0" distB="0" distL="0" distR="0" wp14:anchorId="44E49328" wp14:editId="0FEE3050">
            <wp:extent cx="5274310" cy="2504440"/>
            <wp:effectExtent l="12700" t="12700" r="889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504440"/>
                    </a:xfrm>
                    <a:prstGeom prst="rect">
                      <a:avLst/>
                    </a:prstGeom>
                    <a:ln>
                      <a:solidFill>
                        <a:schemeClr val="bg1">
                          <a:lumMod val="85000"/>
                        </a:schemeClr>
                      </a:solidFill>
                    </a:ln>
                  </pic:spPr>
                </pic:pic>
              </a:graphicData>
            </a:graphic>
          </wp:inline>
        </w:drawing>
      </w:r>
    </w:p>
    <w:p w14:paraId="64F17EDE" w14:textId="77777777" w:rsidR="00062A1E" w:rsidRDefault="00062A1E" w:rsidP="00062A1E">
      <w:pPr>
        <w:rPr>
          <w:rFonts w:ascii="微软雅黑" w:eastAsia="微软雅黑" w:hAnsi="微软雅黑"/>
          <w:color w:val="1A1A1A"/>
          <w:sz w:val="23"/>
          <w:szCs w:val="23"/>
          <w:lang w:eastAsia="zh-CN"/>
        </w:rPr>
      </w:pPr>
      <w:r w:rsidRPr="003B1333">
        <w:rPr>
          <w:rFonts w:ascii="微软雅黑" w:eastAsia="微软雅黑" w:hAnsi="微软雅黑" w:hint="eastAsia"/>
          <w:color w:val="1A1A1A"/>
          <w:sz w:val="23"/>
          <w:szCs w:val="23"/>
          <w:lang w:eastAsia="zh-CN"/>
        </w:rPr>
        <w:lastRenderedPageBreak/>
        <w:t>2）</w:t>
      </w:r>
      <w:r>
        <w:rPr>
          <w:rFonts w:ascii="微软雅黑" w:eastAsia="微软雅黑" w:hAnsi="微软雅黑" w:hint="eastAsia"/>
          <w:color w:val="1A1A1A"/>
          <w:sz w:val="23"/>
          <w:szCs w:val="23"/>
          <w:lang w:eastAsia="zh-CN"/>
        </w:rPr>
        <w:t>业财融合：</w:t>
      </w:r>
      <w:r w:rsidRPr="003B1333">
        <w:rPr>
          <w:rFonts w:ascii="微软雅黑" w:eastAsia="微软雅黑" w:hAnsi="微软雅黑"/>
          <w:noProof/>
          <w:color w:val="1A1A1A"/>
          <w:sz w:val="23"/>
          <w:szCs w:val="23"/>
          <w:lang w:eastAsia="zh-CN"/>
        </w:rPr>
        <w:drawing>
          <wp:inline distT="0" distB="0" distL="0" distR="0" wp14:anchorId="3FC02B2E" wp14:editId="4A454D71">
            <wp:extent cx="5274310" cy="2594610"/>
            <wp:effectExtent l="12700" t="12700" r="889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594610"/>
                    </a:xfrm>
                    <a:prstGeom prst="rect">
                      <a:avLst/>
                    </a:prstGeom>
                    <a:ln>
                      <a:solidFill>
                        <a:schemeClr val="bg1">
                          <a:lumMod val="85000"/>
                        </a:schemeClr>
                      </a:solidFill>
                    </a:ln>
                  </pic:spPr>
                </pic:pic>
              </a:graphicData>
            </a:graphic>
          </wp:inline>
        </w:drawing>
      </w:r>
    </w:p>
    <w:p w14:paraId="1F9D04DC" w14:textId="77777777" w:rsidR="00062A1E" w:rsidRDefault="00062A1E" w:rsidP="00062A1E">
      <w:pPr>
        <w:rPr>
          <w:rFonts w:ascii="微软雅黑" w:eastAsia="微软雅黑" w:hAnsi="微软雅黑"/>
          <w:color w:val="1A1A1A"/>
          <w:sz w:val="23"/>
          <w:szCs w:val="23"/>
          <w:lang w:eastAsia="zh-CN"/>
        </w:rPr>
      </w:pPr>
      <w:r>
        <w:rPr>
          <w:rFonts w:ascii="微软雅黑" w:eastAsia="微软雅黑" w:hAnsi="微软雅黑" w:hint="eastAsia"/>
          <w:color w:val="1A1A1A"/>
          <w:sz w:val="23"/>
          <w:szCs w:val="23"/>
          <w:lang w:eastAsia="zh-CN"/>
        </w:rPr>
        <w:t>3）业财数据服务：</w:t>
      </w:r>
    </w:p>
    <w:p w14:paraId="65D02936" w14:textId="77777777" w:rsidR="00062A1E" w:rsidRPr="004F6F02" w:rsidRDefault="00062A1E" w:rsidP="00062A1E">
      <w:pPr>
        <w:rPr>
          <w:rFonts w:ascii="微软雅黑" w:eastAsia="微软雅黑" w:hAnsi="微软雅黑" w:cs="Arial"/>
          <w:b/>
          <w:bCs/>
          <w:i/>
          <w:iCs/>
          <w:color w:val="1A1A1A"/>
          <w:sz w:val="30"/>
          <w:szCs w:val="30"/>
          <w:lang w:eastAsia="zh-CN"/>
        </w:rPr>
      </w:pPr>
      <w:r w:rsidRPr="003B1333">
        <w:rPr>
          <w:rFonts w:ascii="微软雅黑" w:eastAsia="微软雅黑" w:hAnsi="微软雅黑" w:cs="Arial"/>
          <w:b/>
          <w:bCs/>
          <w:i/>
          <w:iCs/>
          <w:noProof/>
          <w:color w:val="1A1A1A"/>
          <w:sz w:val="30"/>
          <w:szCs w:val="30"/>
          <w:lang w:eastAsia="zh-CN"/>
        </w:rPr>
        <w:drawing>
          <wp:inline distT="0" distB="0" distL="0" distR="0" wp14:anchorId="5FB8B7B3" wp14:editId="4C6C2B16">
            <wp:extent cx="5274310" cy="2615565"/>
            <wp:effectExtent l="12700" t="12700" r="8890" b="133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15565"/>
                    </a:xfrm>
                    <a:prstGeom prst="rect">
                      <a:avLst/>
                    </a:prstGeom>
                    <a:ln>
                      <a:solidFill>
                        <a:schemeClr val="bg1">
                          <a:lumMod val="85000"/>
                        </a:schemeClr>
                      </a:solidFill>
                    </a:ln>
                  </pic:spPr>
                </pic:pic>
              </a:graphicData>
            </a:graphic>
          </wp:inline>
        </w:drawing>
      </w:r>
    </w:p>
    <w:p w14:paraId="21D8596F" w14:textId="77777777" w:rsidR="00062A1E" w:rsidRPr="00062A1E" w:rsidRDefault="00062A1E" w:rsidP="00062A1E">
      <w:pPr>
        <w:rPr>
          <w:rFonts w:hint="eastAsia"/>
          <w:lang w:eastAsia="zh-CN"/>
        </w:rPr>
      </w:pPr>
    </w:p>
    <w:p w14:paraId="037B40D3" w14:textId="1F0021A5" w:rsidR="007B5ACA" w:rsidRPr="009D5E7C" w:rsidRDefault="00062A1E" w:rsidP="007B5ACA">
      <w:pPr>
        <w:pStyle w:val="2"/>
        <w:spacing w:before="0" w:after="0" w:line="630" w:lineRule="atLeast"/>
        <w:rPr>
          <w:rFonts w:ascii="微软雅黑" w:eastAsia="微软雅黑" w:hAnsi="微软雅黑"/>
          <w:color w:val="1A1A1A"/>
          <w:sz w:val="30"/>
          <w:szCs w:val="30"/>
          <w:lang w:eastAsia="zh-CN"/>
        </w:rPr>
      </w:pPr>
      <w:r>
        <w:rPr>
          <w:rFonts w:ascii="微软雅黑" w:eastAsia="微软雅黑" w:hAnsi="微软雅黑" w:hint="eastAsia"/>
          <w:color w:val="1A1A1A"/>
          <w:sz w:val="30"/>
          <w:szCs w:val="30"/>
          <w:lang w:eastAsia="zh-CN"/>
        </w:rPr>
        <w:t>2</w:t>
      </w:r>
      <w:r>
        <w:rPr>
          <w:rFonts w:ascii="微软雅黑" w:eastAsia="微软雅黑" w:hAnsi="微软雅黑"/>
          <w:color w:val="1A1A1A"/>
          <w:sz w:val="30"/>
          <w:szCs w:val="30"/>
          <w:lang w:eastAsia="zh-CN"/>
        </w:rPr>
        <w:t xml:space="preserve"> </w:t>
      </w:r>
      <w:r>
        <w:rPr>
          <w:rFonts w:ascii="微软雅黑" w:eastAsia="微软雅黑" w:hAnsi="微软雅黑" w:hint="eastAsia"/>
          <w:color w:val="1A1A1A"/>
          <w:sz w:val="30"/>
          <w:szCs w:val="30"/>
          <w:lang w:eastAsia="zh-CN"/>
        </w:rPr>
        <w:t>业务场景和解决方案</w:t>
      </w:r>
    </w:p>
    <w:p w14:paraId="1947B7EE" w14:textId="77777777" w:rsidR="00062A1E" w:rsidRPr="00FC4C3C" w:rsidRDefault="00062A1E" w:rsidP="00062A1E">
      <w:pPr>
        <w:pStyle w:val="a3"/>
        <w:spacing w:before="75" w:beforeAutospacing="0" w:after="75" w:afterAutospacing="0"/>
        <w:rPr>
          <w:rFonts w:ascii="微软雅黑" w:eastAsia="微软雅黑" w:hAnsi="微软雅黑" w:hint="eastAsia"/>
          <w:b/>
          <w:bCs/>
          <w:color w:val="1A1A1A"/>
          <w:sz w:val="27"/>
          <w:szCs w:val="27"/>
        </w:rPr>
      </w:pPr>
      <w:r>
        <w:rPr>
          <w:rFonts w:ascii="微软雅黑" w:eastAsia="微软雅黑" w:hAnsi="微软雅黑"/>
          <w:b/>
          <w:bCs/>
          <w:color w:val="1A1A1A"/>
          <w:sz w:val="27"/>
          <w:szCs w:val="27"/>
        </w:rPr>
        <w:t>2</w:t>
      </w:r>
      <w:r w:rsidRPr="00FC4C3C">
        <w:rPr>
          <w:rFonts w:ascii="微软雅黑" w:eastAsia="微软雅黑" w:hAnsi="微软雅黑"/>
          <w:b/>
          <w:bCs/>
          <w:color w:val="1A1A1A"/>
          <w:sz w:val="27"/>
          <w:szCs w:val="27"/>
        </w:rPr>
        <w:t>.</w:t>
      </w:r>
      <w:r>
        <w:rPr>
          <w:rFonts w:ascii="微软雅黑" w:eastAsia="微软雅黑" w:hAnsi="微软雅黑"/>
          <w:b/>
          <w:bCs/>
          <w:color w:val="1A1A1A"/>
          <w:sz w:val="27"/>
          <w:szCs w:val="27"/>
        </w:rPr>
        <w:t xml:space="preserve">1  </w:t>
      </w:r>
      <w:r w:rsidRPr="00FC4C3C">
        <w:rPr>
          <w:rFonts w:ascii="微软雅黑" w:eastAsia="微软雅黑" w:hAnsi="微软雅黑" w:hint="eastAsia"/>
          <w:b/>
          <w:bCs/>
          <w:color w:val="1A1A1A"/>
          <w:sz w:val="27"/>
          <w:szCs w:val="27"/>
        </w:rPr>
        <w:t>场景1：集中核算</w:t>
      </w:r>
    </w:p>
    <w:p w14:paraId="6F67D543" w14:textId="203DCA62" w:rsidR="00062A1E" w:rsidRDefault="00A05D04" w:rsidP="00062A1E">
      <w:pPr>
        <w:pStyle w:val="a3"/>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b/>
          <w:bCs/>
          <w:color w:val="1A1A1A"/>
          <w:sz w:val="23"/>
          <w:szCs w:val="23"/>
        </w:rPr>
        <w:t>2</w:t>
      </w:r>
      <w:r>
        <w:rPr>
          <w:rFonts w:ascii="微软雅黑" w:eastAsia="微软雅黑" w:hAnsi="微软雅黑"/>
          <w:b/>
          <w:bCs/>
          <w:color w:val="1A1A1A"/>
          <w:sz w:val="23"/>
          <w:szCs w:val="23"/>
        </w:rPr>
        <w:t>.1.1</w:t>
      </w:r>
      <w:r w:rsidR="00062A1E" w:rsidRPr="00FC4C3C">
        <w:rPr>
          <w:rFonts w:ascii="微软雅黑" w:eastAsia="微软雅黑" w:hAnsi="微软雅黑" w:hint="eastAsia"/>
          <w:b/>
          <w:bCs/>
          <w:color w:val="1A1A1A"/>
          <w:sz w:val="23"/>
          <w:szCs w:val="23"/>
        </w:rPr>
        <w:t>场景描述：</w:t>
      </w:r>
      <w:r w:rsidR="00062A1E">
        <w:rPr>
          <w:rFonts w:ascii="微软雅黑" w:eastAsia="微软雅黑" w:hAnsi="微软雅黑" w:hint="eastAsia"/>
          <w:color w:val="1A1A1A"/>
          <w:sz w:val="23"/>
          <w:szCs w:val="23"/>
        </w:rPr>
        <w:t>公司发展的不同阶段的不同板块可能会使用不同的ERP系统，即业务系统和财务系统可能会使用不同厂商所提供的软件，因此需要将前端的不同业务系统数据快速对接进入星瀚中生成总账凭证</w:t>
      </w:r>
    </w:p>
    <w:p w14:paraId="7D6D6731" w14:textId="055347DB" w:rsidR="00062A1E" w:rsidRDefault="00A05D04" w:rsidP="00062A1E">
      <w:pPr>
        <w:pStyle w:val="a3"/>
        <w:spacing w:before="75" w:beforeAutospacing="0" w:after="75" w:afterAutospacing="0"/>
        <w:rPr>
          <w:rFonts w:ascii="微软雅黑" w:eastAsia="微软雅黑" w:hAnsi="微软雅黑" w:hint="eastAsia"/>
          <w:color w:val="1A1A1A"/>
          <w:sz w:val="23"/>
          <w:szCs w:val="23"/>
        </w:rPr>
      </w:pPr>
      <w:r>
        <w:rPr>
          <w:rFonts w:ascii="微软雅黑" w:eastAsia="微软雅黑" w:hAnsi="微软雅黑"/>
          <w:b/>
          <w:bCs/>
          <w:color w:val="1A1A1A"/>
          <w:sz w:val="23"/>
          <w:szCs w:val="23"/>
        </w:rPr>
        <w:lastRenderedPageBreak/>
        <w:t>2.1.2</w:t>
      </w:r>
      <w:r w:rsidR="00062A1E" w:rsidRPr="00FC4C3C">
        <w:rPr>
          <w:rFonts w:ascii="微软雅黑" w:eastAsia="微软雅黑" w:hAnsi="微软雅黑" w:hint="eastAsia"/>
          <w:b/>
          <w:bCs/>
          <w:color w:val="1A1A1A"/>
          <w:sz w:val="23"/>
          <w:szCs w:val="23"/>
        </w:rPr>
        <w:t>核心诉求：</w:t>
      </w:r>
      <w:r w:rsidR="00062A1E">
        <w:rPr>
          <w:rFonts w:ascii="微软雅黑" w:eastAsia="微软雅黑" w:hAnsi="微软雅黑" w:hint="eastAsia"/>
          <w:color w:val="1A1A1A"/>
          <w:sz w:val="23"/>
          <w:szCs w:val="23"/>
        </w:rPr>
        <w:t>将不同厂商的业务系统数据对接到星瀚总账系统中，实现集中核算</w:t>
      </w:r>
    </w:p>
    <w:p w14:paraId="691CCCBE" w14:textId="0CD3CF25" w:rsidR="00062A1E" w:rsidRDefault="00A05D04" w:rsidP="00062A1E">
      <w:pPr>
        <w:pStyle w:val="a3"/>
        <w:spacing w:before="75" w:beforeAutospacing="0" w:after="75" w:afterAutospacing="0"/>
        <w:rPr>
          <w:rFonts w:ascii="微软雅黑" w:eastAsia="微软雅黑" w:hAnsi="微软雅黑" w:hint="eastAsia"/>
          <w:color w:val="1A1A1A"/>
          <w:sz w:val="23"/>
          <w:szCs w:val="23"/>
        </w:rPr>
      </w:pPr>
      <w:r>
        <w:rPr>
          <w:rFonts w:ascii="微软雅黑" w:eastAsia="微软雅黑" w:hAnsi="微软雅黑" w:hint="eastAsia"/>
          <w:b/>
          <w:bCs/>
          <w:color w:val="1A1A1A"/>
          <w:sz w:val="23"/>
          <w:szCs w:val="23"/>
        </w:rPr>
        <w:t>2</w:t>
      </w:r>
      <w:r>
        <w:rPr>
          <w:rFonts w:ascii="微软雅黑" w:eastAsia="微软雅黑" w:hAnsi="微软雅黑"/>
          <w:b/>
          <w:bCs/>
          <w:color w:val="1A1A1A"/>
          <w:sz w:val="23"/>
          <w:szCs w:val="23"/>
        </w:rPr>
        <w:t>.1.3</w:t>
      </w:r>
      <w:r w:rsidR="00062A1E" w:rsidRPr="00FC4C3C">
        <w:rPr>
          <w:rFonts w:ascii="微软雅黑" w:eastAsia="微软雅黑" w:hAnsi="微软雅黑" w:hint="eastAsia"/>
          <w:b/>
          <w:bCs/>
          <w:color w:val="1A1A1A"/>
          <w:sz w:val="23"/>
          <w:szCs w:val="23"/>
        </w:rPr>
        <w:t>解决方案：</w:t>
      </w:r>
      <w:r w:rsidR="00062A1E">
        <w:rPr>
          <w:rFonts w:ascii="微软雅黑" w:eastAsia="微软雅黑" w:hAnsi="微软雅黑" w:hint="eastAsia"/>
          <w:color w:val="1A1A1A"/>
          <w:sz w:val="23"/>
          <w:szCs w:val="23"/>
        </w:rPr>
        <w:t>通过</w:t>
      </w:r>
      <w:r w:rsidR="00062A1E" w:rsidRPr="007C1C85">
        <w:rPr>
          <w:rFonts w:ascii="微软雅黑" w:eastAsia="微软雅黑" w:hAnsi="微软雅黑" w:hint="eastAsia"/>
          <w:color w:val="1A1A1A"/>
          <w:sz w:val="23"/>
          <w:szCs w:val="23"/>
        </w:rPr>
        <w:t>外部数据接入</w:t>
      </w:r>
      <w:r w:rsidR="00062A1E">
        <w:rPr>
          <w:rFonts w:ascii="微软雅黑" w:eastAsia="微软雅黑" w:hAnsi="微软雅黑" w:hint="eastAsia"/>
          <w:color w:val="1A1A1A"/>
          <w:sz w:val="23"/>
          <w:szCs w:val="23"/>
        </w:rPr>
        <w:t>功能接入异构系统的业务数据，</w:t>
      </w:r>
      <w:r w:rsidR="00062A1E">
        <w:rPr>
          <w:rFonts w:ascii="微软雅黑" w:eastAsia="微软雅黑" w:hAnsi="微软雅黑" w:hint="eastAsia"/>
          <w:color w:val="1A1A1A"/>
          <w:sz w:val="23"/>
          <w:szCs w:val="23"/>
        </w:rPr>
        <w:t>并使用会计引擎进行核算处理</w:t>
      </w:r>
    </w:p>
    <w:p w14:paraId="10E77E4D" w14:textId="77777777" w:rsidR="00062A1E" w:rsidRDefault="00062A1E" w:rsidP="00062A1E">
      <w:pPr>
        <w:pStyle w:val="a3"/>
        <w:spacing w:before="75" w:beforeAutospacing="0" w:after="75" w:afterAutospacing="0"/>
        <w:ind w:firstLine="280"/>
        <w:rPr>
          <w:rFonts w:ascii="微软雅黑" w:eastAsia="微软雅黑" w:hAnsi="微软雅黑"/>
          <w:color w:val="1A1A1A"/>
          <w:sz w:val="23"/>
          <w:szCs w:val="23"/>
        </w:rPr>
      </w:pPr>
      <w:r w:rsidRPr="00882753">
        <w:rPr>
          <w:rFonts w:ascii="微软雅黑" w:eastAsia="微软雅黑" w:hAnsi="微软雅黑"/>
          <w:noProof/>
          <w:color w:val="1A1A1A"/>
          <w:sz w:val="23"/>
          <w:szCs w:val="23"/>
        </w:rPr>
        <w:drawing>
          <wp:inline distT="0" distB="0" distL="0" distR="0" wp14:anchorId="2F1A3D16" wp14:editId="1CA63821">
            <wp:extent cx="5972810" cy="2926715"/>
            <wp:effectExtent l="12700" t="12700" r="889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72810" cy="2926715"/>
                    </a:xfrm>
                    <a:prstGeom prst="rect">
                      <a:avLst/>
                    </a:prstGeom>
                    <a:ln>
                      <a:solidFill>
                        <a:schemeClr val="bg1">
                          <a:lumMod val="85000"/>
                        </a:schemeClr>
                      </a:solidFill>
                    </a:ln>
                  </pic:spPr>
                </pic:pic>
              </a:graphicData>
            </a:graphic>
          </wp:inline>
        </w:drawing>
      </w:r>
    </w:p>
    <w:p w14:paraId="71B25F6B" w14:textId="77777777" w:rsidR="00062A1E" w:rsidRDefault="00062A1E" w:rsidP="00062A1E">
      <w:pPr>
        <w:pStyle w:val="a3"/>
        <w:spacing w:before="75" w:beforeAutospacing="0" w:after="75" w:afterAutospacing="0"/>
        <w:rPr>
          <w:rFonts w:ascii="微软雅黑" w:eastAsia="微软雅黑" w:hAnsi="微软雅黑"/>
          <w:color w:val="1A1A1A"/>
          <w:sz w:val="23"/>
          <w:szCs w:val="23"/>
        </w:rPr>
      </w:pPr>
    </w:p>
    <w:p w14:paraId="63038E65" w14:textId="77777777" w:rsidR="00062A1E" w:rsidRPr="00FC4C3C" w:rsidRDefault="00062A1E" w:rsidP="00062A1E">
      <w:pPr>
        <w:pStyle w:val="a3"/>
        <w:spacing w:before="75" w:beforeAutospacing="0" w:after="75" w:afterAutospacing="0"/>
        <w:rPr>
          <w:rFonts w:ascii="微软雅黑" w:eastAsia="微软雅黑" w:hAnsi="微软雅黑" w:hint="eastAsia"/>
          <w:b/>
          <w:bCs/>
          <w:color w:val="1A1A1A"/>
          <w:sz w:val="27"/>
          <w:szCs w:val="27"/>
        </w:rPr>
      </w:pPr>
      <w:r>
        <w:rPr>
          <w:rFonts w:ascii="微软雅黑" w:eastAsia="微软雅黑" w:hAnsi="微软雅黑"/>
          <w:b/>
          <w:bCs/>
          <w:color w:val="1A1A1A"/>
          <w:sz w:val="27"/>
          <w:szCs w:val="27"/>
        </w:rPr>
        <w:t>2.2</w:t>
      </w:r>
      <w:r w:rsidRPr="00FC4C3C">
        <w:rPr>
          <w:rFonts w:ascii="微软雅黑" w:eastAsia="微软雅黑" w:hAnsi="微软雅黑"/>
          <w:b/>
          <w:bCs/>
          <w:color w:val="1A1A1A"/>
          <w:sz w:val="27"/>
          <w:szCs w:val="27"/>
        </w:rPr>
        <w:t xml:space="preserve"> </w:t>
      </w:r>
      <w:r w:rsidRPr="00FC4C3C">
        <w:rPr>
          <w:rFonts w:ascii="微软雅黑" w:eastAsia="微软雅黑" w:hAnsi="微软雅黑" w:hint="eastAsia"/>
          <w:b/>
          <w:bCs/>
          <w:color w:val="1A1A1A"/>
          <w:sz w:val="27"/>
          <w:szCs w:val="27"/>
        </w:rPr>
        <w:t>场景2：构建业财数据底座</w:t>
      </w:r>
    </w:p>
    <w:p w14:paraId="1A7AA2B8" w14:textId="6C166EA1" w:rsidR="00062A1E" w:rsidRDefault="00A05D04" w:rsidP="00062A1E">
      <w:pPr>
        <w:pStyle w:val="a3"/>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b/>
          <w:bCs/>
          <w:color w:val="1A1A1A"/>
          <w:sz w:val="23"/>
          <w:szCs w:val="23"/>
        </w:rPr>
        <w:t>2</w:t>
      </w:r>
      <w:r>
        <w:rPr>
          <w:rFonts w:ascii="微软雅黑" w:eastAsia="微软雅黑" w:hAnsi="微软雅黑"/>
          <w:b/>
          <w:bCs/>
          <w:color w:val="1A1A1A"/>
          <w:sz w:val="23"/>
          <w:szCs w:val="23"/>
        </w:rPr>
        <w:t>.2.1</w:t>
      </w:r>
      <w:r w:rsidR="00062A1E" w:rsidRPr="00FC4C3C">
        <w:rPr>
          <w:rFonts w:ascii="微软雅黑" w:eastAsia="微软雅黑" w:hAnsi="微软雅黑" w:hint="eastAsia"/>
          <w:b/>
          <w:bCs/>
          <w:color w:val="1A1A1A"/>
          <w:sz w:val="23"/>
          <w:szCs w:val="23"/>
        </w:rPr>
        <w:t>场景描述：</w:t>
      </w:r>
      <w:r w:rsidR="00062A1E">
        <w:rPr>
          <w:rFonts w:ascii="微软雅黑" w:eastAsia="微软雅黑" w:hAnsi="微软雅黑" w:hint="eastAsia"/>
          <w:color w:val="1A1A1A"/>
          <w:sz w:val="23"/>
          <w:szCs w:val="23"/>
        </w:rPr>
        <w:t>企业日常进行经营分析时，在取数过程中经常碰到以下的一些痛点：</w:t>
      </w:r>
    </w:p>
    <w:p w14:paraId="6DC12124" w14:textId="77777777" w:rsidR="00062A1E" w:rsidRDefault="00062A1E" w:rsidP="00062A1E">
      <w:pPr>
        <w:pStyle w:val="a3"/>
        <w:numPr>
          <w:ilvl w:val="0"/>
          <w:numId w:val="1"/>
        </w:numPr>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color w:val="1A1A1A"/>
          <w:sz w:val="23"/>
          <w:szCs w:val="23"/>
        </w:rPr>
        <w:t>业务数据和财务被分散在多个系统中，没有统一的数据源；</w:t>
      </w:r>
    </w:p>
    <w:p w14:paraId="25215A0A" w14:textId="77777777" w:rsidR="00062A1E" w:rsidRDefault="00062A1E" w:rsidP="00062A1E">
      <w:pPr>
        <w:pStyle w:val="a3"/>
        <w:numPr>
          <w:ilvl w:val="0"/>
          <w:numId w:val="1"/>
        </w:numPr>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color w:val="1A1A1A"/>
          <w:sz w:val="23"/>
          <w:szCs w:val="23"/>
        </w:rPr>
        <w:t>业财数据存在差异，导致各业务部门总怀疑分析数据不准；</w:t>
      </w:r>
    </w:p>
    <w:p w14:paraId="0B880422" w14:textId="77777777" w:rsidR="00062A1E" w:rsidRDefault="00062A1E" w:rsidP="00062A1E">
      <w:pPr>
        <w:pStyle w:val="a3"/>
        <w:numPr>
          <w:ilvl w:val="0"/>
          <w:numId w:val="1"/>
        </w:numPr>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color w:val="1A1A1A"/>
          <w:sz w:val="23"/>
          <w:szCs w:val="23"/>
        </w:rPr>
        <w:t>大量数据被闲置、忽略，不能聚合成有价值的数据资产；</w:t>
      </w:r>
    </w:p>
    <w:p w14:paraId="7C133F4D" w14:textId="77777777" w:rsidR="00062A1E" w:rsidRDefault="00062A1E" w:rsidP="00062A1E">
      <w:pPr>
        <w:pStyle w:val="a3"/>
        <w:numPr>
          <w:ilvl w:val="0"/>
          <w:numId w:val="1"/>
        </w:numPr>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color w:val="1A1A1A"/>
          <w:sz w:val="23"/>
          <w:szCs w:val="23"/>
        </w:rPr>
        <w:t>业财分析时，对分析结果查询原因，不能方便地追溯到业务系统单据，分析麻烦等等</w:t>
      </w:r>
    </w:p>
    <w:p w14:paraId="09705A99" w14:textId="6A88C85B" w:rsidR="00062A1E" w:rsidRDefault="00A05D04" w:rsidP="00062A1E">
      <w:pPr>
        <w:pStyle w:val="a3"/>
        <w:spacing w:before="75" w:beforeAutospacing="0" w:after="75" w:afterAutospacing="0"/>
        <w:rPr>
          <w:rFonts w:ascii="微软雅黑" w:eastAsia="微软雅黑" w:hAnsi="微软雅黑"/>
          <w:color w:val="1A1A1A"/>
          <w:sz w:val="23"/>
          <w:szCs w:val="23"/>
        </w:rPr>
      </w:pPr>
      <w:r>
        <w:rPr>
          <w:rFonts w:ascii="微软雅黑" w:eastAsia="微软雅黑" w:hAnsi="微软雅黑" w:hint="eastAsia"/>
          <w:b/>
          <w:bCs/>
          <w:color w:val="1A1A1A"/>
          <w:sz w:val="23"/>
          <w:szCs w:val="23"/>
        </w:rPr>
        <w:lastRenderedPageBreak/>
        <w:t>2</w:t>
      </w:r>
      <w:r>
        <w:rPr>
          <w:rFonts w:ascii="微软雅黑" w:eastAsia="微软雅黑" w:hAnsi="微软雅黑"/>
          <w:b/>
          <w:bCs/>
          <w:color w:val="1A1A1A"/>
          <w:sz w:val="23"/>
          <w:szCs w:val="23"/>
        </w:rPr>
        <w:t>.2.2</w:t>
      </w:r>
      <w:r w:rsidR="00062A1E" w:rsidRPr="00FC4C3C">
        <w:rPr>
          <w:rFonts w:ascii="微软雅黑" w:eastAsia="微软雅黑" w:hAnsi="微软雅黑" w:hint="eastAsia"/>
          <w:b/>
          <w:bCs/>
          <w:color w:val="1A1A1A"/>
          <w:sz w:val="23"/>
          <w:szCs w:val="23"/>
        </w:rPr>
        <w:t>核心诉求：</w:t>
      </w:r>
      <w:r w:rsidR="00062A1E">
        <w:rPr>
          <w:rFonts w:ascii="微软雅黑" w:eastAsia="微软雅黑" w:hAnsi="微软雅黑" w:hint="eastAsia"/>
          <w:color w:val="1A1A1A"/>
          <w:sz w:val="23"/>
          <w:szCs w:val="23"/>
        </w:rPr>
        <w:t>希望构建业财一致、集中、多维的数据底座，用于企业经营分析</w:t>
      </w:r>
    </w:p>
    <w:p w14:paraId="3650492B" w14:textId="4F9FF8F7" w:rsidR="00062A1E" w:rsidRDefault="00A05D04" w:rsidP="00062A1E">
      <w:pPr>
        <w:pStyle w:val="a3"/>
        <w:spacing w:before="75" w:beforeAutospacing="0" w:after="75" w:afterAutospacing="0"/>
        <w:rPr>
          <w:rFonts w:ascii="微软雅黑" w:eastAsia="微软雅黑" w:hAnsi="微软雅黑"/>
          <w:color w:val="1A1A1A"/>
          <w:sz w:val="23"/>
          <w:szCs w:val="23"/>
        </w:rPr>
      </w:pPr>
      <w:r>
        <w:rPr>
          <w:rFonts w:ascii="微软雅黑" w:eastAsia="微软雅黑" w:hAnsi="微软雅黑"/>
          <w:b/>
          <w:bCs/>
          <w:color w:val="1A1A1A"/>
          <w:sz w:val="23"/>
          <w:szCs w:val="23"/>
        </w:rPr>
        <w:t>2.2.3</w:t>
      </w:r>
      <w:r w:rsidR="00062A1E" w:rsidRPr="00FC4C3C">
        <w:rPr>
          <w:rFonts w:ascii="微软雅黑" w:eastAsia="微软雅黑" w:hAnsi="微软雅黑" w:hint="eastAsia"/>
          <w:b/>
          <w:bCs/>
          <w:color w:val="1A1A1A"/>
          <w:sz w:val="23"/>
          <w:szCs w:val="23"/>
        </w:rPr>
        <w:t>解决方案：</w:t>
      </w:r>
      <w:r w:rsidR="00062A1E">
        <w:rPr>
          <w:rFonts w:ascii="微软雅黑" w:eastAsia="微软雅黑" w:hAnsi="微软雅黑" w:hint="eastAsia"/>
          <w:color w:val="1A1A1A"/>
          <w:sz w:val="23"/>
          <w:szCs w:val="23"/>
        </w:rPr>
        <w:t>相对于传统的业财转换，会计事件库2</w:t>
      </w:r>
      <w:r w:rsidR="00062A1E">
        <w:rPr>
          <w:rFonts w:ascii="微软雅黑" w:eastAsia="微软雅黑" w:hAnsi="微软雅黑"/>
          <w:color w:val="1A1A1A"/>
          <w:sz w:val="23"/>
          <w:szCs w:val="23"/>
        </w:rPr>
        <w:t>.0</w:t>
      </w:r>
      <w:r w:rsidR="00062A1E">
        <w:rPr>
          <w:rFonts w:ascii="微软雅黑" w:eastAsia="微软雅黑" w:hAnsi="微软雅黑" w:hint="eastAsia"/>
          <w:color w:val="1A1A1A"/>
          <w:sz w:val="23"/>
          <w:szCs w:val="23"/>
        </w:rPr>
        <w:t>保存了与业务明细对应的核算分录明细。同时，在核算信息的基础上，额外保存了分析需要的业务信息，例如业务类型，物料，品类，区域，批号信息，仓库，跟踪号等业务维度。</w:t>
      </w:r>
    </w:p>
    <w:p w14:paraId="5C14B181" w14:textId="6BA0EBF3" w:rsidR="004F6F02" w:rsidRDefault="00062A1E" w:rsidP="00062A1E">
      <w:pPr>
        <w:pStyle w:val="a3"/>
        <w:spacing w:before="75" w:beforeAutospacing="0" w:after="75" w:afterAutospacing="0"/>
        <w:rPr>
          <w:rFonts w:ascii="微软雅黑" w:eastAsia="微软雅黑" w:hAnsi="微软雅黑" w:hint="eastAsia"/>
          <w:color w:val="1A1A1A"/>
          <w:sz w:val="23"/>
          <w:szCs w:val="23"/>
        </w:rPr>
      </w:pPr>
      <w:r w:rsidRPr="00882753">
        <w:rPr>
          <w:rFonts w:ascii="微软雅黑" w:eastAsia="微软雅黑" w:hAnsi="微软雅黑"/>
          <w:noProof/>
          <w:color w:val="1A1A1A"/>
          <w:sz w:val="23"/>
          <w:szCs w:val="23"/>
        </w:rPr>
        <w:drawing>
          <wp:inline distT="0" distB="0" distL="0" distR="0" wp14:anchorId="2FC41A3D" wp14:editId="112F5E3F">
            <wp:extent cx="5972810" cy="2891790"/>
            <wp:effectExtent l="12700" t="12700" r="8890" b="165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72810" cy="2891790"/>
                    </a:xfrm>
                    <a:prstGeom prst="rect">
                      <a:avLst/>
                    </a:prstGeom>
                    <a:ln>
                      <a:solidFill>
                        <a:schemeClr val="bg1">
                          <a:lumMod val="85000"/>
                        </a:schemeClr>
                      </a:solidFill>
                    </a:ln>
                  </pic:spPr>
                </pic:pic>
              </a:graphicData>
            </a:graphic>
          </wp:inline>
        </w:drawing>
      </w:r>
    </w:p>
    <w:p w14:paraId="3392C87C" w14:textId="6BE3BA35" w:rsidR="004F6F02" w:rsidRDefault="004F6F02" w:rsidP="007B5ACA">
      <w:pPr>
        <w:rPr>
          <w:rFonts w:ascii="微软雅黑" w:eastAsia="微软雅黑" w:hAnsi="微软雅黑"/>
          <w:color w:val="1A1A1A"/>
          <w:sz w:val="23"/>
          <w:szCs w:val="23"/>
          <w:lang w:eastAsia="zh-CN"/>
        </w:rPr>
      </w:pPr>
      <w:r>
        <w:rPr>
          <w:rFonts w:ascii="微软雅黑" w:eastAsia="微软雅黑" w:hAnsi="微软雅黑" w:hint="eastAsia"/>
          <w:color w:val="1A1A1A"/>
          <w:sz w:val="23"/>
          <w:szCs w:val="23"/>
          <w:lang w:eastAsia="zh-CN"/>
        </w:rPr>
        <w:t xml:space="preserve">    </w:t>
      </w:r>
    </w:p>
    <w:sectPr w:rsidR="004F6F0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CC"/>
    <w:family w:val="roman"/>
    <w:pitch w:val="variable"/>
    <w:sig w:usb0="E0007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CC"/>
    <w:family w:val="swiss"/>
    <w:pitch w:val="variable"/>
    <w:sig w:usb0="E0007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ingFang SC">
    <w:panose1 w:val="020B0400000000000000"/>
    <w:charset w:val="86"/>
    <w:family w:val="swiss"/>
    <w:pitch w:val="variable"/>
    <w:sig w:usb0="A00002FF" w:usb1="7ACFFDFB" w:usb2="00000017" w:usb3="00000000" w:csb0="00040001" w:csb1="00000000"/>
  </w:font>
  <w:font w:name="微软雅黑">
    <w:altName w:val="Microsoft YaHei"/>
    <w:panose1 w:val="020B0503020204020204"/>
    <w:charset w:val="86"/>
    <w:family w:val="swiss"/>
    <w:pitch w:val="variable"/>
    <w:sig w:usb0="80000287" w:usb1="28CF3C52"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A65321"/>
    <w:multiLevelType w:val="hybridMultilevel"/>
    <w:tmpl w:val="8B28F35C"/>
    <w:lvl w:ilvl="0" w:tplc="0409000B">
      <w:start w:val="1"/>
      <w:numFmt w:val="bullet"/>
      <w:lvlText w:val=""/>
      <w:lvlJc w:val="left"/>
      <w:pPr>
        <w:ind w:left="700" w:hanging="420"/>
      </w:pPr>
      <w:rPr>
        <w:rFonts w:ascii="Wingdings" w:hAnsi="Wingdings" w:hint="default"/>
      </w:rPr>
    </w:lvl>
    <w:lvl w:ilvl="1" w:tplc="FFFFFFFF" w:tentative="1">
      <w:start w:val="1"/>
      <w:numFmt w:val="bullet"/>
      <w:lvlText w:val=""/>
      <w:lvlJc w:val="left"/>
      <w:pPr>
        <w:ind w:left="1120" w:hanging="420"/>
      </w:pPr>
      <w:rPr>
        <w:rFonts w:ascii="Wingdings" w:hAnsi="Wingdings" w:hint="default"/>
      </w:rPr>
    </w:lvl>
    <w:lvl w:ilvl="2" w:tplc="FFFFFFFF" w:tentative="1">
      <w:start w:val="1"/>
      <w:numFmt w:val="bullet"/>
      <w:lvlText w:val=""/>
      <w:lvlJc w:val="left"/>
      <w:pPr>
        <w:ind w:left="1540" w:hanging="420"/>
      </w:pPr>
      <w:rPr>
        <w:rFonts w:ascii="Wingdings" w:hAnsi="Wingdings" w:hint="default"/>
      </w:rPr>
    </w:lvl>
    <w:lvl w:ilvl="3" w:tplc="FFFFFFFF" w:tentative="1">
      <w:start w:val="1"/>
      <w:numFmt w:val="bullet"/>
      <w:lvlText w:val=""/>
      <w:lvlJc w:val="left"/>
      <w:pPr>
        <w:ind w:left="1960" w:hanging="420"/>
      </w:pPr>
      <w:rPr>
        <w:rFonts w:ascii="Wingdings" w:hAnsi="Wingdings" w:hint="default"/>
      </w:rPr>
    </w:lvl>
    <w:lvl w:ilvl="4" w:tplc="FFFFFFFF" w:tentative="1">
      <w:start w:val="1"/>
      <w:numFmt w:val="bullet"/>
      <w:lvlText w:val=""/>
      <w:lvlJc w:val="left"/>
      <w:pPr>
        <w:ind w:left="2380" w:hanging="420"/>
      </w:pPr>
      <w:rPr>
        <w:rFonts w:ascii="Wingdings" w:hAnsi="Wingdings" w:hint="default"/>
      </w:rPr>
    </w:lvl>
    <w:lvl w:ilvl="5" w:tplc="FFFFFFFF" w:tentative="1">
      <w:start w:val="1"/>
      <w:numFmt w:val="bullet"/>
      <w:lvlText w:val=""/>
      <w:lvlJc w:val="left"/>
      <w:pPr>
        <w:ind w:left="2800" w:hanging="420"/>
      </w:pPr>
      <w:rPr>
        <w:rFonts w:ascii="Wingdings" w:hAnsi="Wingdings" w:hint="default"/>
      </w:rPr>
    </w:lvl>
    <w:lvl w:ilvl="6" w:tplc="FFFFFFFF" w:tentative="1">
      <w:start w:val="1"/>
      <w:numFmt w:val="bullet"/>
      <w:lvlText w:val=""/>
      <w:lvlJc w:val="left"/>
      <w:pPr>
        <w:ind w:left="3220" w:hanging="420"/>
      </w:pPr>
      <w:rPr>
        <w:rFonts w:ascii="Wingdings" w:hAnsi="Wingdings" w:hint="default"/>
      </w:rPr>
    </w:lvl>
    <w:lvl w:ilvl="7" w:tplc="FFFFFFFF" w:tentative="1">
      <w:start w:val="1"/>
      <w:numFmt w:val="bullet"/>
      <w:lvlText w:val=""/>
      <w:lvlJc w:val="left"/>
      <w:pPr>
        <w:ind w:left="3640" w:hanging="420"/>
      </w:pPr>
      <w:rPr>
        <w:rFonts w:ascii="Wingdings" w:hAnsi="Wingdings" w:hint="default"/>
      </w:rPr>
    </w:lvl>
    <w:lvl w:ilvl="8" w:tplc="FFFFFFFF" w:tentative="1">
      <w:start w:val="1"/>
      <w:numFmt w:val="bullet"/>
      <w:lvlText w:val=""/>
      <w:lvlJc w:val="left"/>
      <w:pPr>
        <w:ind w:left="4060" w:hanging="420"/>
      </w:pPr>
      <w:rPr>
        <w:rFonts w:ascii="Wingdings" w:hAnsi="Wingdings" w:hint="default"/>
      </w:rPr>
    </w:lvl>
  </w:abstractNum>
  <w:num w:numId="1" w16cid:durableId="15910882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5ACA"/>
    <w:rsid w:val="00062A1E"/>
    <w:rsid w:val="002F1AB6"/>
    <w:rsid w:val="003B1333"/>
    <w:rsid w:val="004F6F02"/>
    <w:rsid w:val="005E5E85"/>
    <w:rsid w:val="007B5ACA"/>
    <w:rsid w:val="008760B2"/>
    <w:rsid w:val="00A05D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20149022"/>
  <w15:chartTrackingRefBased/>
  <w15:docId w15:val="{0474E4F9-1656-B448-B4AC-5DCC39F24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B5ACA"/>
    <w:rPr>
      <w:rFonts w:ascii="Times New Roman" w:hAnsi="Times New Roman" w:cs="Times New Roman"/>
      <w:kern w:val="0"/>
      <w:sz w:val="24"/>
      <w:lang w:eastAsia="en-US"/>
    </w:rPr>
  </w:style>
  <w:style w:type="paragraph" w:styleId="2">
    <w:name w:val="heading 2"/>
    <w:basedOn w:val="a"/>
    <w:next w:val="a"/>
    <w:link w:val="20"/>
    <w:qFormat/>
    <w:rsid w:val="007B5ACA"/>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7B5ACA"/>
    <w:rPr>
      <w:rFonts w:ascii="Arial" w:hAnsi="Arial" w:cs="Arial"/>
      <w:b/>
      <w:bCs/>
      <w:i/>
      <w:iCs/>
      <w:kern w:val="0"/>
      <w:sz w:val="28"/>
      <w:szCs w:val="28"/>
      <w:lang w:eastAsia="en-US"/>
    </w:rPr>
  </w:style>
  <w:style w:type="paragraph" w:styleId="a3">
    <w:name w:val="Normal (Web)"/>
    <w:basedOn w:val="a"/>
    <w:uiPriority w:val="99"/>
    <w:semiHidden/>
    <w:unhideWhenUsed/>
    <w:rsid w:val="004F6F02"/>
    <w:pPr>
      <w:spacing w:before="100" w:beforeAutospacing="1" w:after="100" w:afterAutospacing="1"/>
    </w:pPr>
    <w:rPr>
      <w:rFonts w:ascii="宋体" w:eastAsia="宋体" w:hAnsi="宋体" w:cs="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4</Pages>
  <Words>346</Words>
  <Characters>346</Characters>
  <Application>Microsoft Office Word</Application>
  <DocSecurity>0</DocSecurity>
  <Lines>21</Lines>
  <Paragraphs>19</Paragraphs>
  <ScaleCrop>false</ScaleCrop>
  <Company/>
  <LinksUpToDate>false</LinksUpToDate>
  <CharactersWithSpaces>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 跃龙</dc:creator>
  <cp:keywords/>
  <dc:description/>
  <cp:lastModifiedBy>林 跃龙</cp:lastModifiedBy>
  <cp:revision>5</cp:revision>
  <dcterms:created xsi:type="dcterms:W3CDTF">2025-03-19T10:31:00Z</dcterms:created>
  <dcterms:modified xsi:type="dcterms:W3CDTF">2025-03-25T09:09:00Z</dcterms:modified>
</cp:coreProperties>
</file>